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05123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cs="Arial"/>
          <w:lang w:val="en-US"/>
        </w:rPr>
        <w:pict w14:anchorId="1084498D">
          <v:shapetype id="_x0000_t202" coordsize="21600,21600" o:spt="202" path="m,l,21600r21600,l21600,xe">
            <v:stroke joinstyle="miter"/>
            <v:path gradientshapeok="t" o:connecttype="rect"/>
          </v:shapetype>
          <v:shape id="_x0000_s1037" type="#_x0000_t202" style="position:absolute;left:0;text-align:left;margin-left:334.25pt;margin-top:.25pt;width:126.65pt;height:104.7pt;z-index:251657728"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Ayla Wolf</w:t>
                  </w:r>
                </w:p>
                <w:p w14:paraId="276DBFB8" w14:textId="4DA00BC2" w:rsidR="005F4A8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 Corporate Communication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Phone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7C183229" w:rsidR="005F4A8B" w:rsidRPr="0086612A" w:rsidRDefault="00326DD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January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sz w:val="36"/>
          <w:szCs w:val="36"/>
          <w:lang w:val="en-US"/>
        </w:rPr>
        <w:t>PRESS RELEASE</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4B82B5B9" w:rsidR="003B4420" w:rsidRPr="003B4420" w:rsidRDefault="0002298F" w:rsidP="003B4420">
      <w:pPr>
        <w:spacing w:after="160" w:line="276" w:lineRule="auto"/>
        <w:jc w:val="both"/>
        <w:rPr>
          <w:rFonts w:ascii="Arial" w:eastAsia="Calibri" w:hAnsi="Arial" w:cs="Arial"/>
          <w:b/>
          <w:bCs/>
          <w:sz w:val="32"/>
          <w:szCs w:val="32"/>
        </w:rPr>
      </w:pPr>
      <w:r>
        <w:rPr>
          <w:rFonts w:ascii="Arial" w:eastAsia="Calibri" w:hAnsi="Arial" w:cs="Arial"/>
          <w:b/>
          <w:bCs/>
          <w:sz w:val="32"/>
          <w:szCs w:val="32"/>
          <w:lang w:val="en-US"/>
        </w:rPr>
        <w:t>WEINIG Group Launches Major Investment Program at HOLZ-HER</w:t>
      </w:r>
    </w:p>
    <w:p w14:paraId="5C844BF0" w14:textId="77777777" w:rsidR="003B4420" w:rsidRDefault="003B4420" w:rsidP="003B4420">
      <w:pPr>
        <w:spacing w:after="160" w:line="259" w:lineRule="auto"/>
        <w:jc w:val="both"/>
        <w:rPr>
          <w:rFonts w:ascii="Arial" w:eastAsia="Calibri" w:hAnsi="Arial" w:cs="Arial"/>
        </w:rPr>
      </w:pPr>
    </w:p>
    <w:p w14:paraId="2C6B399D" w14:textId="744F87E7" w:rsidR="003B4420" w:rsidRPr="00D54302" w:rsidRDefault="007A544A" w:rsidP="003B4420">
      <w:pPr>
        <w:spacing w:after="160" w:line="360" w:lineRule="auto"/>
        <w:jc w:val="both"/>
        <w:rPr>
          <w:rFonts w:ascii="Arial" w:eastAsia="Calibri" w:hAnsi="Arial" w:cs="Arial"/>
          <w:b/>
          <w:bCs/>
        </w:rPr>
      </w:pPr>
      <w:r>
        <w:rPr>
          <w:rFonts w:ascii="Arial" w:eastAsia="Calibri" w:hAnsi="Arial" w:cs="Arial"/>
          <w:b/>
          <w:bCs/>
          <w:lang w:val="en-US"/>
        </w:rPr>
        <w:t>The WEINIG Group, the leading technology provider in the woodworking industry, is investing 15 million euros in its Panel Processing division to promote its subsidiary HOLZ-HER. The company, which has been part of the Group since 2010, began to reach its capacity limits in 2019, which is why a large-scale investment project is expected to significantly increase capacity and enable further growth.</w:t>
      </w:r>
    </w:p>
    <w:p w14:paraId="547B9763" w14:textId="337950FE" w:rsidR="005C38B1" w:rsidRPr="005C38B1" w:rsidRDefault="000B4698" w:rsidP="005C38B1">
      <w:pPr>
        <w:spacing w:after="160" w:line="360" w:lineRule="auto"/>
        <w:jc w:val="both"/>
        <w:rPr>
          <w:rFonts w:ascii="Arial" w:eastAsia="Calibri" w:hAnsi="Arial" w:cs="Arial"/>
        </w:rPr>
      </w:pPr>
      <w:r>
        <w:rPr>
          <w:rFonts w:ascii="Arial" w:eastAsia="Calibri" w:hAnsi="Arial" w:cs="Arial"/>
          <w:lang w:val="en-US"/>
        </w:rPr>
        <w:t>HOLZ-HER, a machine manufacturer founded in 1914 and part of the WEINIG Group since 2010, has grown so strongly in recent years that it has repeatedly reached the limits of its production capacity. The first investments to expand steel machining were already made in 2018. But in 2019, things quickly became tight again. For this reason, the management board and supervisory board agreed on a comprehensive investment program in three stages:</w:t>
      </w:r>
    </w:p>
    <w:p w14:paraId="246B8423" w14:textId="77777777" w:rsidR="005C38B1" w:rsidRPr="005C38B1" w:rsidRDefault="005C38B1" w:rsidP="005C38B1">
      <w:pPr>
        <w:numPr>
          <w:ilvl w:val="0"/>
          <w:numId w:val="19"/>
        </w:numPr>
        <w:spacing w:after="160" w:line="360" w:lineRule="auto"/>
        <w:jc w:val="both"/>
        <w:rPr>
          <w:rFonts w:ascii="Arial" w:eastAsia="Calibri" w:hAnsi="Arial" w:cs="Arial"/>
        </w:rPr>
      </w:pPr>
      <w:r>
        <w:rPr>
          <w:rFonts w:ascii="Arial" w:eastAsia="Calibri" w:hAnsi="Arial" w:cs="Arial"/>
          <w:b/>
          <w:bCs/>
          <w:lang w:val="en-US"/>
        </w:rPr>
        <w:t>Further expansion of steel machining and extension of assembly areas</w:t>
      </w:r>
      <w:r>
        <w:rPr>
          <w:rFonts w:ascii="Arial" w:eastAsia="Calibri" w:hAnsi="Arial" w:cs="Arial"/>
          <w:lang w:val="en-US"/>
        </w:rPr>
        <w:br/>
        <w:t>In addition to the investment made in 2018, there will be a new hall and a new center for steel machining. The assembly area will be expanded by 1,700 sqm.</w:t>
      </w:r>
    </w:p>
    <w:p w14:paraId="4BB8FE04" w14:textId="242FFDBB" w:rsidR="005C38B1" w:rsidRPr="005C38B1" w:rsidRDefault="005C38B1" w:rsidP="005C38B1">
      <w:pPr>
        <w:numPr>
          <w:ilvl w:val="0"/>
          <w:numId w:val="19"/>
        </w:numPr>
        <w:spacing w:after="160" w:line="360" w:lineRule="auto"/>
        <w:jc w:val="both"/>
        <w:rPr>
          <w:rFonts w:ascii="Arial" w:eastAsia="Calibri" w:hAnsi="Arial" w:cs="Arial"/>
        </w:rPr>
      </w:pPr>
      <w:r>
        <w:rPr>
          <w:rFonts w:ascii="Arial" w:eastAsia="Calibri" w:hAnsi="Arial" w:cs="Arial"/>
          <w:b/>
          <w:bCs/>
          <w:lang w:val="en-US"/>
        </w:rPr>
        <w:t>Redesign of the logistics concept at the production site</w:t>
      </w:r>
      <w:r>
        <w:rPr>
          <w:rFonts w:ascii="Arial" w:eastAsia="Calibri" w:hAnsi="Arial" w:cs="Arial"/>
          <w:lang w:val="en-US"/>
        </w:rPr>
        <w:br/>
        <w:t>The existing logistics concept will be comprehensively revised and restructured. For this purpose, new warehouses with a high level of automation will be built (for pallets, bars and small parts).</w:t>
      </w:r>
    </w:p>
    <w:p w14:paraId="12F5CE5A" w14:textId="141CE4CC" w:rsidR="005C38B1" w:rsidRPr="004126B3" w:rsidRDefault="005C38B1" w:rsidP="005C38B1">
      <w:pPr>
        <w:numPr>
          <w:ilvl w:val="0"/>
          <w:numId w:val="19"/>
        </w:numPr>
        <w:spacing w:after="160" w:line="360" w:lineRule="auto"/>
        <w:jc w:val="both"/>
        <w:rPr>
          <w:rFonts w:ascii="Arial" w:eastAsia="Calibri" w:hAnsi="Arial" w:cs="Arial"/>
          <w:b/>
          <w:bCs/>
        </w:rPr>
      </w:pPr>
      <w:r>
        <w:rPr>
          <w:rFonts w:ascii="Arial" w:eastAsia="Calibri" w:hAnsi="Arial" w:cs="Arial"/>
          <w:b/>
          <w:bCs/>
          <w:lang w:val="en-US"/>
        </w:rPr>
        <w:t>Expansion of the showroom and renovation of the office premises at the Voitsberg site</w:t>
      </w:r>
    </w:p>
    <w:p w14:paraId="7AF9FF93" w14:textId="0CE2FC6F" w:rsidR="005C38B1" w:rsidRPr="005C38B1" w:rsidRDefault="005C38B1" w:rsidP="005C38B1">
      <w:pPr>
        <w:spacing w:after="160" w:line="360" w:lineRule="auto"/>
        <w:jc w:val="both"/>
        <w:rPr>
          <w:rFonts w:ascii="Arial" w:eastAsia="Calibri" w:hAnsi="Arial" w:cs="Arial"/>
        </w:rPr>
      </w:pPr>
    </w:p>
    <w:p w14:paraId="63CEA309" w14:textId="59C1D86B" w:rsidR="005C38B1" w:rsidRPr="005C38B1" w:rsidRDefault="005C38B1" w:rsidP="005C38B1">
      <w:pPr>
        <w:spacing w:after="160" w:line="360" w:lineRule="auto"/>
        <w:jc w:val="both"/>
        <w:rPr>
          <w:rFonts w:ascii="Arial" w:eastAsia="Calibri" w:hAnsi="Arial" w:cs="Arial"/>
        </w:rPr>
      </w:pPr>
      <w:r>
        <w:rPr>
          <w:rFonts w:ascii="Arial" w:eastAsia="Calibri" w:hAnsi="Arial" w:cs="Arial"/>
          <w:lang w:val="en-US"/>
        </w:rPr>
        <w:t xml:space="preserve">The investment totaling 15 million euros will thus not only increase production capacity, but also create space to expand the company’s product portfolio in the future. </w:t>
      </w:r>
    </w:p>
    <w:p w14:paraId="09517B32" w14:textId="235786CC" w:rsidR="005C38B1" w:rsidRDefault="0005123B" w:rsidP="005C38B1">
      <w:pPr>
        <w:spacing w:after="160" w:line="360" w:lineRule="auto"/>
        <w:jc w:val="both"/>
        <w:rPr>
          <w:rFonts w:ascii="Arial" w:eastAsia="Calibri" w:hAnsi="Arial" w:cs="Arial"/>
        </w:rPr>
      </w:pPr>
      <w:r>
        <w:rPr>
          <w:rFonts w:ascii="Arial" w:eastAsia="Calibri" w:hAnsi="Arial" w:cs="Arial"/>
          <w:lang w:val="en-US"/>
        </w:rPr>
        <w:lastRenderedPageBreak/>
        <w:t>I</w:t>
      </w:r>
      <w:r w:rsidR="005C38B1">
        <w:rPr>
          <w:rFonts w:ascii="Arial" w:eastAsia="Calibri" w:hAnsi="Arial" w:cs="Arial"/>
          <w:lang w:val="en-US"/>
        </w:rPr>
        <w:t xml:space="preserve">n view of the investments already made in 2019 (5 million EUR) and 2020 (12 million EUR), which were primarily aimed at the sales, service and development site in Nürtingen, WEINIG once again underlines the importance of HOLZ-HER for the </w:t>
      </w:r>
      <w:r>
        <w:rPr>
          <w:rFonts w:ascii="Arial" w:eastAsia="Calibri" w:hAnsi="Arial" w:cs="Arial"/>
          <w:lang w:val="en-US"/>
        </w:rPr>
        <w:t xml:space="preserve">entire </w:t>
      </w:r>
      <w:r w:rsidR="005C38B1">
        <w:rPr>
          <w:rFonts w:ascii="Arial" w:eastAsia="Calibri" w:hAnsi="Arial" w:cs="Arial"/>
          <w:lang w:val="en-US"/>
        </w:rPr>
        <w:t>Group.</w:t>
      </w:r>
    </w:p>
    <w:p w14:paraId="189A3D2C" w14:textId="0D972D6C" w:rsidR="003747D9" w:rsidRPr="005C38B1" w:rsidRDefault="00425936" w:rsidP="005C38B1">
      <w:pPr>
        <w:spacing w:after="160" w:line="360" w:lineRule="auto"/>
        <w:jc w:val="both"/>
        <w:rPr>
          <w:rFonts w:ascii="Arial" w:eastAsia="Calibri" w:hAnsi="Arial" w:cs="Arial"/>
        </w:rPr>
      </w:pPr>
      <w:r>
        <w:rPr>
          <w:rFonts w:ascii="Arial" w:eastAsia="Calibri" w:hAnsi="Arial" w:cs="Arial"/>
          <w:lang w:val="en-US"/>
        </w:rPr>
        <w:t>The investment in the further expansion of the sites is also a clear signal to the employees that WEINIG is clearly committed to Voitsberg and Nürtingen and fully supports them in their further development of HOLZ-HER.</w:t>
      </w:r>
    </w:p>
    <w:p w14:paraId="0E02950E" w14:textId="4A92A65A" w:rsidR="00FE1381" w:rsidRDefault="005C38B1" w:rsidP="003B4420">
      <w:pPr>
        <w:spacing w:after="160" w:line="360" w:lineRule="auto"/>
        <w:jc w:val="both"/>
        <w:rPr>
          <w:rFonts w:ascii="Arial" w:eastAsia="Calibri" w:hAnsi="Arial" w:cs="Arial"/>
        </w:rPr>
      </w:pPr>
      <w:r>
        <w:rPr>
          <w:rFonts w:ascii="Arial" w:eastAsia="Calibri" w:hAnsi="Arial" w:cs="Arial"/>
          <w:lang w:val="en-US"/>
        </w:rPr>
        <w:t xml:space="preserve">The WEINIG Group is well positioned with its two divisions Solid Wood and Panel Processing. This is due not least to the special commitment of its employees, to whom the company would like to express its gratitude. </w:t>
      </w:r>
    </w:p>
    <w:p w14:paraId="27C6C684" w14:textId="1AF04137" w:rsidR="00C7652E" w:rsidRPr="003B4420" w:rsidRDefault="00C7652E" w:rsidP="003B4420">
      <w:pPr>
        <w:spacing w:after="160" w:line="360" w:lineRule="auto"/>
        <w:jc w:val="both"/>
        <w:rPr>
          <w:rFonts w:ascii="Arial" w:eastAsia="Calibri" w:hAnsi="Arial" w:cs="Arial"/>
        </w:rPr>
      </w:pPr>
      <w:r>
        <w:rPr>
          <w:rFonts w:ascii="Arial" w:eastAsia="Calibri" w:hAnsi="Arial" w:cs="Arial"/>
          <w:lang w:val="en-US"/>
        </w:rPr>
        <w:t>“We are very much looking forward to continue shaping the future of HOLZ-HER together,” said Gregor Baumbusch, CEO of the WEINIG Group, and Frank Epple, Managing Director of HOLZ-HER.</w:t>
      </w:r>
    </w:p>
    <w:sectPr w:rsidR="00C7652E" w:rsidRPr="003B4420"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07E3" w14:textId="77777777" w:rsidR="00B10CA1" w:rsidRDefault="00B10CA1">
      <w:r>
        <w:separator/>
      </w:r>
    </w:p>
  </w:endnote>
  <w:endnote w:type="continuationSeparator" w:id="0">
    <w:p w14:paraId="7404C52E" w14:textId="77777777" w:rsidR="00B10CA1" w:rsidRDefault="00B10CA1">
      <w:r>
        <w:continuationSeparator/>
      </w:r>
    </w:p>
  </w:endnote>
  <w:endnote w:type="continuationNotice" w:id="1">
    <w:p w14:paraId="797AB17A" w14:textId="77777777" w:rsidR="00B10CA1" w:rsidRDefault="00B10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05123B">
    <w:pPr>
      <w:pStyle w:val="Fuzeile"/>
    </w:pPr>
    <w:r>
      <w:rPr>
        <w:noProof/>
        <w:lang w:val="en-US"/>
      </w:rPr>
      <w:pict w14:anchorId="3E7EDA9C">
        <v:shapetype id="_x0000_t202" coordsize="21600,21600" o:spt="202" path="m,l,21600r21600,l21600,xe">
          <v:stroke joinstyle="miter"/>
          <v:path gradientshapeok="t" o:connecttype="rect"/>
        </v:shapetype>
        <v:shape id="_x0000_s2052" type="#_x0000_t202" style="position:absolute;margin-left:.1pt;margin-top:2.6pt;width:433.05pt;height:34.7pt;z-index:251655168" stroked="f">
          <v:textbox style="mso-next-textbox:#_x0000_s2052" inset="0,0,0,0">
            <w:txbxContent>
              <w:p w14:paraId="4EAD6AB0" w14:textId="77777777" w:rsidR="005F4A8B" w:rsidRDefault="005F4A8B">
                <w:pPr>
                  <w:rPr>
                    <w:rFonts w:ascii="Arial" w:hAnsi="Arial"/>
                    <w:b/>
                    <w:sz w:val="22"/>
                    <w:szCs w:val="22"/>
                  </w:rPr>
                </w:pPr>
                <w:r>
                  <w:rPr>
                    <w:rFonts w:ascii="Arial" w:hAnsi="Arial"/>
                    <w:b/>
                    <w:bCs/>
                    <w:sz w:val="22"/>
                    <w:szCs w:val="22"/>
                    <w:lang w:val="en-US"/>
                  </w:rPr>
                  <w:t>Michael Weinig AG</w:t>
                </w:r>
              </w:p>
              <w:p w14:paraId="6DE2BE2C" w14:textId="77777777" w:rsidR="005F4A8B" w:rsidRDefault="005F4A8B">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14:paraId="2EA68ED4" w14:textId="77777777" w:rsidR="005F4A8B" w:rsidRDefault="005F4A8B">
                <w:pPr>
                  <w:rPr>
                    <w:sz w:val="15"/>
                    <w:szCs w:val="15"/>
                  </w:rPr>
                </w:pPr>
                <w:r>
                  <w:rPr>
                    <w:rFonts w:ascii="Arial" w:hAnsi="Arial"/>
                    <w:sz w:val="15"/>
                    <w:szCs w:val="15"/>
                    <w:lang w:val="en-US"/>
                  </w:rPr>
                  <w:t>Telephone +49 93 41/86-0, Fax +49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880B" w14:textId="77777777" w:rsidR="00B10CA1" w:rsidRDefault="00B10CA1">
      <w:r>
        <w:separator/>
      </w:r>
    </w:p>
  </w:footnote>
  <w:footnote w:type="continuationSeparator" w:id="0">
    <w:p w14:paraId="5F00213D" w14:textId="77777777" w:rsidR="00B10CA1" w:rsidRDefault="00B10CA1">
      <w:r>
        <w:continuationSeparator/>
      </w:r>
    </w:p>
  </w:footnote>
  <w:footnote w:type="continuationNotice" w:id="1">
    <w:p w14:paraId="0562D319" w14:textId="77777777" w:rsidR="00B10CA1" w:rsidRDefault="00B10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05123B" w:rsidP="005D5421">
    <w:pPr>
      <w:pStyle w:val="Kopfzeile"/>
      <w:tabs>
        <w:tab w:val="clear" w:pos="9072"/>
        <w:tab w:val="right" w:pos="8080"/>
      </w:tabs>
      <w:ind w:right="-1560" w:firstLine="4248"/>
      <w:jc w:val="right"/>
    </w:pPr>
    <w:r>
      <w:rPr>
        <w:noProof/>
        <w:lang w:val="en-US"/>
      </w:rPr>
      <w:pict w14:anchorId="0F5DB0BA">
        <v:shapetype id="_x0000_t32" coordsize="21600,21600" o:spt="32" o:oned="t" path="m,l21600,21600e" filled="f">
          <v:path arrowok="t" fillok="f" o:connecttype="none"/>
          <o:lock v:ext="edit" shapetype="t"/>
        </v:shapetype>
        <v:shape id="_x0000_s2073" type="#_x0000_t32" style="position:absolute;left:0;text-align:left;margin-left:-11.45pt;margin-top:25.6pt;width:201.35pt;height:0;z-index:251659264" o:connectortype="straight" strokeweight="2pt">
          <v:shadow type="perspective" color="#375623" opacity=".5" offset="1pt" offset2="-1pt"/>
        </v:shape>
      </w:pict>
    </w:r>
    <w:r>
      <w:rPr>
        <w:noProof/>
        <w:lang w:val="en-US"/>
      </w:rPr>
      <w:pict w14:anchorId="1E01B026">
        <v:shape id="_x0000_s2076" type="#_x0000_t32" style="position:absolute;left:0;text-align:left;margin-left:295.05pt;margin-top:25.6pt;width:201.35pt;height:0;z-index:251660288" o:connectortype="straight" strokeweight="2pt">
          <v:shadow type="perspective" color="#375623" opacity=".5" offset="1pt" offset2="-1pt"/>
        </v:shape>
      </w:pict>
    </w:r>
    <w:r>
      <w:rPr>
        <w:noProof/>
        <w:lang w:val="en-US"/>
      </w:rP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208.7pt;margin-top:-10.85pt;width:63.7pt;height:81.55pt;z-index:251658240" o:allowoverlap="f">
          <v:imagedata r:id="rId1" o:title="logo_09"/>
          <w10:wrap type="square"/>
        </v:shape>
      </w:pict>
    </w:r>
    <w:r>
      <w:rPr>
        <w:noProof/>
        <w:lang w:val="en-US"/>
      </w:rPr>
      <w:pict w14:anchorId="3994D5C4">
        <v:line id="_x0000_s2069" style="position:absolute;left:0;text-align:left;z-index:251657216;mso-position-horizontal-relative:page;mso-position-vertical-relative:page" from="11.35pt,595.35pt" to="22.7pt,595.35pt" strokeweight=".1pt">
          <w10:wrap anchorx="page" anchory="page"/>
          <w10:anchorlock/>
        </v:line>
      </w:pict>
    </w:r>
    <w:r>
      <w:rPr>
        <w:noProof/>
        <w:lang w:val="en-US"/>
      </w:rPr>
      <w:pict w14:anchorId="1DD9903B">
        <v:line id="_x0000_s2068" style="position:absolute;left:0;text-align:left;z-index:25165619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pt;height:3pt" o:bullet="t">
        <v:imagedata r:id="rId1" o:title=""/>
      </v:shape>
    </w:pict>
  </w:numPicBullet>
  <w:numPicBullet w:numPicBulletId="1">
    <w:pict>
      <v:shape id="_x0000_i1090" type="#_x0000_t75" style="width:3pt;height:3pt" o:bullet="t">
        <v:imagedata r:id="rId2" o:title=""/>
      </v:shape>
    </w:pict>
  </w:numPicBullet>
  <w:numPicBullet w:numPicBulletId="2">
    <w:pict>
      <v:shape id="_x0000_i1091"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1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3"/>
  </w:num>
  <w:num w:numId="4">
    <w:abstractNumId w:val="4"/>
  </w:num>
  <w:num w:numId="5">
    <w:abstractNumId w:val="14"/>
  </w:num>
  <w:num w:numId="6">
    <w:abstractNumId w:val="2"/>
  </w:num>
  <w:num w:numId="7">
    <w:abstractNumId w:val="0"/>
  </w:num>
  <w:num w:numId="8">
    <w:abstractNumId w:val="16"/>
  </w:num>
  <w:num w:numId="9">
    <w:abstractNumId w:val="11"/>
  </w:num>
  <w:num w:numId="10">
    <w:abstractNumId w:val="8"/>
  </w:num>
  <w:num w:numId="11">
    <w:abstractNumId w:val="7"/>
  </w:num>
  <w:num w:numId="12">
    <w:abstractNumId w:val="20"/>
  </w:num>
  <w:num w:numId="13">
    <w:abstractNumId w:val="1"/>
  </w:num>
  <w:num w:numId="14">
    <w:abstractNumId w:val="13"/>
  </w:num>
  <w:num w:numId="15">
    <w:abstractNumId w:val="5"/>
  </w:num>
  <w:num w:numId="16">
    <w:abstractNumId w:val="17"/>
  </w:num>
  <w:num w:numId="17">
    <w:abstractNumId w:val="12"/>
  </w:num>
  <w:num w:numId="18">
    <w:abstractNumId w:val="18"/>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o:colormru v:ext="edit" colors="#009836"/>
    </o:shapedefaults>
    <o:shapelayout v:ext="edit">
      <o:idmap v:ext="edit" data="2"/>
      <o:rules v:ext="edit">
        <o:r id="V:Rule3" type="connector" idref="#_x0000_s2073"/>
        <o:r id="V:Rule4" type="connector" idref="#_x0000_s2076"/>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7F0A"/>
    <w:rsid w:val="0002298F"/>
    <w:rsid w:val="00022ED1"/>
    <w:rsid w:val="000269CE"/>
    <w:rsid w:val="000359E0"/>
    <w:rsid w:val="00040E1C"/>
    <w:rsid w:val="00040FBE"/>
    <w:rsid w:val="0005123B"/>
    <w:rsid w:val="00052CFD"/>
    <w:rsid w:val="00054473"/>
    <w:rsid w:val="00065085"/>
    <w:rsid w:val="000849A7"/>
    <w:rsid w:val="000858C0"/>
    <w:rsid w:val="0008775D"/>
    <w:rsid w:val="00090C4C"/>
    <w:rsid w:val="00091151"/>
    <w:rsid w:val="00093C69"/>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D02F2"/>
    <w:rsid w:val="001D2B20"/>
    <w:rsid w:val="001E1F76"/>
    <w:rsid w:val="001F3B1E"/>
    <w:rsid w:val="001F75EC"/>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A37C2"/>
    <w:rsid w:val="003A3862"/>
    <w:rsid w:val="003B4420"/>
    <w:rsid w:val="003C2A28"/>
    <w:rsid w:val="003D2D0F"/>
    <w:rsid w:val="003E1564"/>
    <w:rsid w:val="003F752A"/>
    <w:rsid w:val="00403873"/>
    <w:rsid w:val="004071C1"/>
    <w:rsid w:val="004112E7"/>
    <w:rsid w:val="004126B3"/>
    <w:rsid w:val="0041632A"/>
    <w:rsid w:val="00425936"/>
    <w:rsid w:val="0043326E"/>
    <w:rsid w:val="00446CEF"/>
    <w:rsid w:val="00447191"/>
    <w:rsid w:val="004523D0"/>
    <w:rsid w:val="00460797"/>
    <w:rsid w:val="0046217B"/>
    <w:rsid w:val="00473D54"/>
    <w:rsid w:val="004818C8"/>
    <w:rsid w:val="00482CC0"/>
    <w:rsid w:val="004A36AD"/>
    <w:rsid w:val="004A3DEF"/>
    <w:rsid w:val="004A429D"/>
    <w:rsid w:val="004B0DF4"/>
    <w:rsid w:val="004C1D6C"/>
    <w:rsid w:val="004D4DF0"/>
    <w:rsid w:val="0050257B"/>
    <w:rsid w:val="0051485D"/>
    <w:rsid w:val="005249DA"/>
    <w:rsid w:val="00531767"/>
    <w:rsid w:val="00532083"/>
    <w:rsid w:val="00536AB4"/>
    <w:rsid w:val="00544243"/>
    <w:rsid w:val="00547849"/>
    <w:rsid w:val="00562517"/>
    <w:rsid w:val="0057057C"/>
    <w:rsid w:val="0057463A"/>
    <w:rsid w:val="0058779D"/>
    <w:rsid w:val="005A33ED"/>
    <w:rsid w:val="005A34F5"/>
    <w:rsid w:val="005A50D3"/>
    <w:rsid w:val="005B472C"/>
    <w:rsid w:val="005B73A0"/>
    <w:rsid w:val="005C38B1"/>
    <w:rsid w:val="005C7B88"/>
    <w:rsid w:val="005D0C69"/>
    <w:rsid w:val="005D292E"/>
    <w:rsid w:val="005D52E5"/>
    <w:rsid w:val="005D5421"/>
    <w:rsid w:val="005E5B06"/>
    <w:rsid w:val="005F4A8B"/>
    <w:rsid w:val="0060193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70732C"/>
    <w:rsid w:val="007252CF"/>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903186"/>
    <w:rsid w:val="009031E7"/>
    <w:rsid w:val="00920FF4"/>
    <w:rsid w:val="00926F6D"/>
    <w:rsid w:val="009352D6"/>
    <w:rsid w:val="00946DEE"/>
    <w:rsid w:val="00955896"/>
    <w:rsid w:val="00955AD0"/>
    <w:rsid w:val="009764B0"/>
    <w:rsid w:val="0098231B"/>
    <w:rsid w:val="0099294D"/>
    <w:rsid w:val="0099470C"/>
    <w:rsid w:val="009954CC"/>
    <w:rsid w:val="00996950"/>
    <w:rsid w:val="009B08CB"/>
    <w:rsid w:val="009C0E6B"/>
    <w:rsid w:val="009C398B"/>
    <w:rsid w:val="009F02F3"/>
    <w:rsid w:val="009F2184"/>
    <w:rsid w:val="009F4873"/>
    <w:rsid w:val="009F4D3F"/>
    <w:rsid w:val="00A11412"/>
    <w:rsid w:val="00A16E4D"/>
    <w:rsid w:val="00A16F5E"/>
    <w:rsid w:val="00A24C28"/>
    <w:rsid w:val="00A3444B"/>
    <w:rsid w:val="00A35A63"/>
    <w:rsid w:val="00A45958"/>
    <w:rsid w:val="00A532A1"/>
    <w:rsid w:val="00A54F24"/>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509B"/>
    <w:rsid w:val="00BA575D"/>
    <w:rsid w:val="00BC0AF8"/>
    <w:rsid w:val="00BD013E"/>
    <w:rsid w:val="00BD373A"/>
    <w:rsid w:val="00BF467A"/>
    <w:rsid w:val="00C02245"/>
    <w:rsid w:val="00C13FED"/>
    <w:rsid w:val="00C15F5D"/>
    <w:rsid w:val="00C34749"/>
    <w:rsid w:val="00C35EFC"/>
    <w:rsid w:val="00C415F6"/>
    <w:rsid w:val="00C45FDC"/>
    <w:rsid w:val="00C46986"/>
    <w:rsid w:val="00C523E5"/>
    <w:rsid w:val="00C67998"/>
    <w:rsid w:val="00C7652E"/>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109</cp:revision>
  <cp:lastPrinted>2009-03-27T09:16:00Z</cp:lastPrinted>
  <dcterms:created xsi:type="dcterms:W3CDTF">2022-01-04T11:02:00Z</dcterms:created>
  <dcterms:modified xsi:type="dcterms:W3CDTF">2022-01-12T13:43:00Z</dcterms:modified>
</cp:coreProperties>
</file>